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654CEB" w:rsidRDefault="008C4536" w:rsidP="00A108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C4536">
        <w:rPr>
          <w:rFonts w:ascii="Segoe UI" w:hAnsi="Segoe UI" w:cs="Segoe UI"/>
          <w:b/>
          <w:sz w:val="28"/>
          <w:szCs w:val="28"/>
        </w:rPr>
        <w:t>Новосибирск сохранил лидерство в округе по регистрации новостроек</w:t>
      </w:r>
    </w:p>
    <w:p w:rsidR="00A1084F" w:rsidRPr="00654CEB" w:rsidRDefault="00A1084F" w:rsidP="00A108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sz w:val="28"/>
          <w:szCs w:val="28"/>
        </w:rPr>
        <w:t xml:space="preserve">В 2022 году в Сибирском федеральном округе лидером по регистрации договоров на первичном рынке недвижимости оказалась Новосибирская область. </w:t>
      </w: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sz w:val="28"/>
          <w:szCs w:val="28"/>
        </w:rPr>
        <w:t>От общего количества зарегистрированных в округе договоров участия в долевом строительстве на Новосибирскую область пришлось 40% - 31 779 договоров, 84% из них зарегистрировано в отношении жилья.</w:t>
      </w: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8C4536">
        <w:rPr>
          <w:rFonts w:ascii="Segoe UI" w:hAnsi="Segoe UI" w:cs="Segoe UI"/>
          <w:color w:val="000000" w:themeColor="text1"/>
          <w:sz w:val="28"/>
          <w:szCs w:val="28"/>
        </w:rPr>
        <w:t>Доля регистраций договоров с участием дольщиков в электронном виде выросла за год почти в два раза: с 49% в январе до 95% в декабре 2022 года.</w:t>
      </w: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sz w:val="28"/>
          <w:szCs w:val="28"/>
        </w:rPr>
        <w:t xml:space="preserve">Лидерами по регистрации сделок на первичном рынке недвижимости в 2022 году оказались Октябрьский – 28%, Заельцовский – 21% и Ленинский – 19%  районы Новосибирской области. </w:t>
      </w:r>
    </w:p>
    <w:p w:rsidR="008C4536" w:rsidRPr="008C4536" w:rsidRDefault="008C4536" w:rsidP="008C4536">
      <w:pPr>
        <w:spacing w:after="0" w:line="240" w:lineRule="auto"/>
        <w:contextualSpacing/>
        <w:jc w:val="center"/>
        <w:rPr>
          <w:rFonts w:ascii="Segoe UI" w:hAnsi="Segoe UI" w:cs="Segoe UI"/>
          <w:color w:val="FF0000"/>
          <w:sz w:val="28"/>
          <w:szCs w:val="28"/>
        </w:rPr>
      </w:pPr>
    </w:p>
    <w:p w:rsidR="008C4536" w:rsidRPr="008C4536" w:rsidRDefault="008C4536" w:rsidP="008C4536">
      <w:pPr>
        <w:spacing w:after="0" w:line="240" w:lineRule="auto"/>
        <w:contextualSpacing/>
        <w:jc w:val="center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noProof/>
          <w:lang w:eastAsia="ru-RU"/>
        </w:rPr>
        <w:drawing>
          <wp:inline distT="0" distB="0" distL="0" distR="0" wp14:anchorId="0A6DA4DD" wp14:editId="2B5A5CEC">
            <wp:extent cx="5940425" cy="250149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C4536" w:rsidRPr="008C4536" w:rsidRDefault="008C4536" w:rsidP="008C4536">
      <w:pPr>
        <w:spacing w:after="0" w:line="240" w:lineRule="auto"/>
        <w:contextualSpacing/>
        <w:jc w:val="center"/>
        <w:rPr>
          <w:rFonts w:ascii="Segoe UI" w:hAnsi="Segoe UI" w:cs="Segoe UI"/>
          <w:sz w:val="28"/>
          <w:szCs w:val="28"/>
        </w:rPr>
      </w:pP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sz w:val="28"/>
          <w:szCs w:val="28"/>
        </w:rPr>
        <w:t xml:space="preserve">Доля </w:t>
      </w:r>
      <w:r w:rsidRPr="008C4536">
        <w:rPr>
          <w:rFonts w:ascii="Segoe UI" w:hAnsi="Segoe UI" w:cs="Segoe UI"/>
          <w:color w:val="000000" w:themeColor="text1"/>
          <w:sz w:val="28"/>
          <w:szCs w:val="28"/>
        </w:rPr>
        <w:t xml:space="preserve">эскроу счетов от общего количества первичных договоров за 2022 год – 86%. Рассматриваемый показатель превышает результат деятельности в регионе за 2021 год на 9%. Около 87% эскроу счетов открыты в отношении жилых помещений. </w:t>
      </w: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sz w:val="28"/>
          <w:szCs w:val="28"/>
        </w:rPr>
        <w:lastRenderedPageBreak/>
        <w:t>С начала 2022 года более 84% договоров участия в долевом строительстве оформляется с привлечением кредитных средств и средств целевого займа.</w:t>
      </w:r>
    </w:p>
    <w:p w:rsidR="008C4536" w:rsidRPr="008C4536" w:rsidRDefault="008C4536" w:rsidP="008C4536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C4536">
        <w:rPr>
          <w:rFonts w:ascii="Segoe UI" w:hAnsi="Segoe UI" w:cs="Segoe UI"/>
          <w:sz w:val="28"/>
          <w:szCs w:val="28"/>
        </w:rPr>
        <w:t>Относительно 2021 года по Новосибирской области в 2022 году наблюдается незначительное снижение показателя регистрации договоров участия в долевом строительстве на 1,1%.</w:t>
      </w:r>
    </w:p>
    <w:p w:rsidR="00F4628A" w:rsidRDefault="00F4628A" w:rsidP="00F4628A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190C29" w:rsidRDefault="00190C29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1471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F4628A" w:rsidRPr="00F4628A" w:rsidRDefault="00F4628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A36E95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A36E95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1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A36E95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A36E95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F4628A" w:rsidRDefault="00A36E95" w:rsidP="00F4628A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F4628A" w:rsidSect="001F4FDE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E95" w:rsidRDefault="00A36E95" w:rsidP="00747FDB">
      <w:pPr>
        <w:spacing w:after="0" w:line="240" w:lineRule="auto"/>
      </w:pPr>
      <w:r>
        <w:separator/>
      </w:r>
    </w:p>
  </w:endnote>
  <w:endnote w:type="continuationSeparator" w:id="0">
    <w:p w:rsidR="00A36E95" w:rsidRDefault="00A36E9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E95" w:rsidRDefault="00A36E95" w:rsidP="00747FDB">
      <w:pPr>
        <w:spacing w:after="0" w:line="240" w:lineRule="auto"/>
      </w:pPr>
      <w:r>
        <w:separator/>
      </w:r>
    </w:p>
  </w:footnote>
  <w:footnote w:type="continuationSeparator" w:id="0">
    <w:p w:rsidR="00A36E95" w:rsidRDefault="00A36E9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74D75"/>
    <w:rsid w:val="000910E0"/>
    <w:rsid w:val="00097C70"/>
    <w:rsid w:val="000A5CED"/>
    <w:rsid w:val="000C1DE5"/>
    <w:rsid w:val="000E0318"/>
    <w:rsid w:val="00141714"/>
    <w:rsid w:val="0016035A"/>
    <w:rsid w:val="001626F7"/>
    <w:rsid w:val="00185F2E"/>
    <w:rsid w:val="00190C29"/>
    <w:rsid w:val="001E65F9"/>
    <w:rsid w:val="001F4FDE"/>
    <w:rsid w:val="00203E51"/>
    <w:rsid w:val="00223771"/>
    <w:rsid w:val="002448A5"/>
    <w:rsid w:val="00256153"/>
    <w:rsid w:val="00291652"/>
    <w:rsid w:val="002B1881"/>
    <w:rsid w:val="002C29BC"/>
    <w:rsid w:val="002E57A7"/>
    <w:rsid w:val="00300DC6"/>
    <w:rsid w:val="00313C38"/>
    <w:rsid w:val="003216E6"/>
    <w:rsid w:val="00345DC5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C7C4F"/>
    <w:rsid w:val="004E5606"/>
    <w:rsid w:val="004F4E99"/>
    <w:rsid w:val="00526CC7"/>
    <w:rsid w:val="00562F46"/>
    <w:rsid w:val="00581E8C"/>
    <w:rsid w:val="00587E9A"/>
    <w:rsid w:val="00591255"/>
    <w:rsid w:val="00596D36"/>
    <w:rsid w:val="005A5D37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4CEB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4536"/>
    <w:rsid w:val="008C6DC0"/>
    <w:rsid w:val="008C76F5"/>
    <w:rsid w:val="008D122A"/>
    <w:rsid w:val="009001A5"/>
    <w:rsid w:val="00901983"/>
    <w:rsid w:val="00904195"/>
    <w:rsid w:val="009058C7"/>
    <w:rsid w:val="00907414"/>
    <w:rsid w:val="00967E00"/>
    <w:rsid w:val="00985DFF"/>
    <w:rsid w:val="00991C84"/>
    <w:rsid w:val="00A00B04"/>
    <w:rsid w:val="00A1084F"/>
    <w:rsid w:val="00A36E95"/>
    <w:rsid w:val="00A417DB"/>
    <w:rsid w:val="00A46E27"/>
    <w:rsid w:val="00A7179D"/>
    <w:rsid w:val="00A75EE8"/>
    <w:rsid w:val="00A76C6B"/>
    <w:rsid w:val="00A87EA1"/>
    <w:rsid w:val="00AA2407"/>
    <w:rsid w:val="00AA59B6"/>
    <w:rsid w:val="00AB03F7"/>
    <w:rsid w:val="00AC6D9F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25A84"/>
    <w:rsid w:val="00C47D80"/>
    <w:rsid w:val="00CA3F4D"/>
    <w:rsid w:val="00CA687B"/>
    <w:rsid w:val="00CE1BF2"/>
    <w:rsid w:val="00CF76E8"/>
    <w:rsid w:val="00D06BB4"/>
    <w:rsid w:val="00D17291"/>
    <w:rsid w:val="00D4094A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B6CA3"/>
    <w:rsid w:val="00ED0AA3"/>
    <w:rsid w:val="00ED3003"/>
    <w:rsid w:val="00F04CB2"/>
    <w:rsid w:val="00F27FA7"/>
    <w:rsid w:val="00F40EEE"/>
    <w:rsid w:val="00F44DDA"/>
    <w:rsid w:val="00F4628A"/>
    <w:rsid w:val="00F6719C"/>
    <w:rsid w:val="00F7512B"/>
    <w:rsid w:val="00F92787"/>
    <w:rsid w:val="00FA110D"/>
    <w:rsid w:val="00FA143B"/>
    <w:rsid w:val="00FB062C"/>
    <w:rsid w:val="00FB3C30"/>
    <w:rsid w:val="00FE082D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31A76-13F3-4CA3-B401-15E68D37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345DC5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54.0.5\&#1086;&#1086;&#1080;&#1082;\&#1057;&#1058;&#1040;&#1058;&#1048;&#1057;&#1058;&#1048;&#1050;&#1040;\&#1057;&#1090;&#1072;&#1090;&#1080;&#1089;&#1090;&#1080;&#1082;&#1072;%20&#1044;&#1044;&#1059;%20&#1087;&#1086;%20&#1088;&#1072;&#1081;&#1086;&#1085;&#1072;&#1084;%20&#1075;.%20&#1053;&#1086;&#1074;&#1086;&#1089;&#1080;&#1073;&#1080;&#1088;&#1089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5"/>
    </mc:Choice>
    <mc:Fallback>
      <c:style val="1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4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6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7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8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9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>
                    <a:solidFill>
                      <a:srgbClr val="002060"/>
                    </a:solidFill>
                    <a:latin typeface="+mn-lt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'[Статистика ДДУ по районам г. Новосибирска.xlsx]Лист1'!$A$1:$A$10</c:f>
              <c:strCache>
                <c:ptCount val="10"/>
                <c:pt idx="0">
                  <c:v>Дзержинский </c:v>
                </c:pt>
                <c:pt idx="1">
                  <c:v>Железнодорожный </c:v>
                </c:pt>
                <c:pt idx="2">
                  <c:v>Заельцовский </c:v>
                </c:pt>
                <c:pt idx="3">
                  <c:v>Калининский </c:v>
                </c:pt>
                <c:pt idx="4">
                  <c:v>Кировский</c:v>
                </c:pt>
                <c:pt idx="5">
                  <c:v>Ленинский </c:v>
                </c:pt>
                <c:pt idx="6">
                  <c:v>Октябрьский </c:v>
                </c:pt>
                <c:pt idx="7">
                  <c:v>Первомайский </c:v>
                </c:pt>
                <c:pt idx="8">
                  <c:v>Советский </c:v>
                </c:pt>
                <c:pt idx="9">
                  <c:v>Центральный </c:v>
                </c:pt>
              </c:strCache>
            </c:strRef>
          </c:cat>
          <c:val>
            <c:numRef>
              <c:f>'[Статистика ДДУ по районам г. Новосибирска.xlsx]Лист1'!$C$1:$C$10</c:f>
              <c:numCache>
                <c:formatCode>0%</c:formatCode>
                <c:ptCount val="10"/>
                <c:pt idx="0">
                  <c:v>4.5745920745920744E-2</c:v>
                </c:pt>
                <c:pt idx="1">
                  <c:v>2.8044871794871796E-2</c:v>
                </c:pt>
                <c:pt idx="2">
                  <c:v>0.20964452214452214</c:v>
                </c:pt>
                <c:pt idx="3">
                  <c:v>8.6538461538461536E-2</c:v>
                </c:pt>
                <c:pt idx="4">
                  <c:v>5.4050116550116552E-2</c:v>
                </c:pt>
                <c:pt idx="5">
                  <c:v>0.19267191142191142</c:v>
                </c:pt>
                <c:pt idx="6">
                  <c:v>0.28394522144522144</c:v>
                </c:pt>
                <c:pt idx="7">
                  <c:v>2.207167832167832E-2</c:v>
                </c:pt>
                <c:pt idx="8">
                  <c:v>7.7214452214452211E-3</c:v>
                </c:pt>
                <c:pt idx="9">
                  <c:v>6.9565850815850816E-2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606195072"/>
        <c:axId val="-606192896"/>
        <c:axId val="0"/>
      </c:bar3DChart>
      <c:catAx>
        <c:axId val="-6061950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txPr>
          <a:bodyPr/>
          <a:lstStyle/>
          <a:p>
            <a:pPr>
              <a:defRPr sz="1050">
                <a:latin typeface="+mn-lt"/>
                <a:cs typeface="Times New Roman" pitchFamily="18" charset="0"/>
              </a:defRPr>
            </a:pPr>
            <a:endParaRPr lang="ru-RU"/>
          </a:p>
        </c:txPr>
        <c:crossAx val="-606192896"/>
        <c:crosses val="autoZero"/>
        <c:auto val="1"/>
        <c:lblAlgn val="ctr"/>
        <c:lblOffset val="100"/>
        <c:noMultiLvlLbl val="0"/>
      </c:catAx>
      <c:valAx>
        <c:axId val="-606192896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one"/>
        <c:crossAx val="-606195072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2023-01-26T11:21:00Z</dcterms:created>
  <dcterms:modified xsi:type="dcterms:W3CDTF">2023-01-26T11:21:00Z</dcterms:modified>
</cp:coreProperties>
</file>